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36 vom 6. Juni 2018</w:t>
      </w:r>
    </w:p>
    <w:p>
      <w:r>
        <w:t>VS Kantonsgericht, 2018-06-06, DE</w:t>
      </w:r>
    </w:p>
    <w:p>
      <w:r>
        <w:rPr>
          <w:b/>
        </w:rPr>
        <w:t xml:space="preserve">Quelle: </w:t>
      </w:r>
      <w:r>
        <w:t>https://mcp.opencaselaw.ch/entscheid/vs_gerichte_C2 17 36</w:t>
      </w:r>
    </w:p>
    <w:p>
      <w:r>
        <w:t>FR: VS_GERICHTE C2 17 36 du 6 juin 2018</w:t>
      </w:r>
    </w:p>
    <w:p>
      <w:r>
        <w:t>IT: VS_GERICHTE C2 17 36 del 6 giugno 2018</w:t>
      </w:r>
    </w:p>
    <w:p>
      <w:pPr>
        <w:pStyle w:val="Heading2"/>
      </w:pPr>
      <w:r>
        <w:t>Regeste</w:t>
      </w:r>
    </w:p>
    <w:p>
      <w:r>
        <w:t>C2 17 36 ENTSCHEID VOM 6. JUNI 2018 Kantonsgericht Wallis I. Zivilrechtliche Abteilung Dr. Lionel Seeberger, Einzelrichter; Silas Providoli, Gerichtsschreiber in Sachen X _________ AG, Beklagte und Gesuchstellerin, vertreten durch Rechtsanwalt M _________ , gegen Y _________ SA, , Klägerin und Gesuchsgegnerin, Z _________ , Kläger und Gesuchsgegner, beide vertreten durch Rechtsanwalt N _________ (Sicherheit für Parteientschädigung)</w:t>
      </w:r>
    </w:p>
    <w:p>
      <w:pPr>
        <w:pStyle w:val="Heading2"/>
      </w:pPr>
      <w:r>
        <w:t>Erwägungen</w:t>
      </w:r>
    </w:p>
    <w:p>
      <w:r>
        <w:rPr>
          <w:b/>
        </w:rPr>
        <w:t>E. 1</w:t>
      </w:r>
    </w:p>
    <w:p>
      <w:r>
        <w:t>Gemäss Art. 99 Abs. 1 ZPO hat die klagende Partei auf Antrag der beklagten Partei für deren Parteientschädigung Sicherheit zu leisten, wenn ein Kautionsgrund im Sinne der lit. a - d gegeben ist. Als Beklagte ist die X _________ AG demzufolge berechtigt, einen solchen Antrag zu stellen. Der Entscheid über die Prozesskaution fällt als prozessleitende Verfügung in die Zu- ständigkeit des Präsidenten (Art. 124 Abs. 2 ZPO; Staehelin/Staehelin/Grolimund, Zi- vilprozessrecht, 2. A., Zürich/Basel/Genf 2013, § 16 N. 28a und 31).</w:t>
      </w:r>
    </w:p>
    <w:p>
      <w:r>
        <w:rPr>
          <w:b/>
        </w:rPr>
        <w:t>E. 2</w:t>
      </w:r>
    </w:p>
    <w:p>
      <w:r>
        <w:t>A., Zürich/St. Gallen 2016, N. 13 zu Art. 99 ZPO); Vorliegen eines Pfandausfall- scheines, der die Gegenstand der Aberkennungsklage bildende Forderung verkörpert (Sterchi, a.a.O., N. 28 zu Art. 99 ZPO); Tatbestände gemäss Art. 190 Abs. 1 SchKG (Zahlungsflucht, betrügerische Handlungen zum Nachteil der Gläubiger, Verheimli- chung von Vermögenswerten) oder Transaktionen der klagenden Partei, die paulia- nisch anfechtbar werden können (Schmid, in: Oberhammer/Domej/Haas [Hrsg.], Kurz- kommentar ZPO, 2. A., Basel 2014, N. 12 zu Art. 99 ZPO; Suter/Von Holzen, a.a.O., N. 35 zu Art. 99 ZPO). Die Leistungsfähigkeit der klagenden Partei kann ferner ohne betreibungsrechtliche Vorgänge dann erheblich gefährdet sein, wenn sie nachweislich einer gesetzlichen, vertraglichen oder ausservertraglichen Verpflichtung gegenüber- steht, die ihre Aktiven bei weitem übersteigt (Rüegg/Rüegg, Basler Kommentar, 3. A., 2017, N. 17 zu Art. 99 ZPO). Schliesslich sollen offene Betreibungen in beträchtlichem Umfang in Betracht fallen können, auch wenn sie nicht geradezu Zahlungsunfähigkeit implizieren (Sterchi, a.a.O., N. 28 zu Art. 99 ZPO).</w:t>
      </w:r>
    </w:p>
    <w:p>
      <w:r>
        <w:rPr>
          <w:b/>
        </w:rPr>
        <w:t>E. 2.1</w:t>
      </w:r>
    </w:p>
    <w:p>
      <w:r>
        <w:t>Der Gesetzgeber hat mit lit. d von Art. 99 Abs. 1 ZPO einen Auffangtatbestand geschaffen für Fälle, die durch lit. a-c nicht erfasst werden. Bei der „erheblichen Ge- fährdung der Parteientschädigung“ im Sinne der genannten Vorschrift handelt es sich um einen unbestimmten Rechtsbegriff. Wann eine erhebliche Gefährdung vorliegt, prä- zisiert das Gesetz nämlich nicht; dies hat das Gericht ermessensweise zu beurteilen (Bundesgerichtsurteil 5A_221/2014 vom 10. September 2014 E. 3). Eine solche allge- mein gehaltene Generalklausel erscheint rechtsstaatlich nicht unbedenklich, stellt doch die Kautionspflicht im Einzelfall eine erhebliche Erschwerung des Zugangs zum Recht dar. Aus der gesetzlichen Formulierung ist nur (aber immerhin) ersichtlich, dass nicht jede mögliche Gefährdung der Einbringlichkeit, sondern nur eine erhebliche Gefähr-</w:t>
      </w:r>
    </w:p>
    <w:p>
      <w:r>
        <w:t>- 5 - dung die Kautionspflicht begründet (Sterchi, Berner Kommentar, 2013, N. 27 zu Art. 99 ZPO). Entscheidend ist dabei, ob sich bei wirtschaftlicher Betrachtung eine erhebliche Gefährdung der Parteientschädigung zeigt. Das normale Prozessrisiko, das letztlich jeder Beklagte trägt, der unfreiwillig in einen Prozess verwickelt wird, genügt nicht (Su- ter/Von Holzen, in: Sutter-Somm/Hasenböhler/Leuenberger [Hrsg.], Kommentar zur Schweizerischen Zivilprozessordnung, 3. A., Zürich/Basel/Genf 2013, N. 34 zu Art. 99 ZPO). Die Botschaft zur ZPO (S. 7294) nennt als einziges Beispiel das sog. asset stripping vor Konkurs, bei dem sich die klagende Partei ihrer Aktiven entledigt (z.B. durch Über- tragung unter Wert auf eine Auffanggesellschaft). Im Schrifttum finden sich als weitere Beispiele: ein Konkursaufschub nach Art. 725a oder 903 OR (Urwyler/Grütter, in: Brunner/Gasser/Schwander [Hrsg.], Schweizerische Zivilprozessordnung Kommentar,</w:t>
      </w:r>
    </w:p>
    <w:p>
      <w:r>
        <w:rPr>
          <w:b/>
        </w:rPr>
        <w:t>E. 2.2</w:t>
      </w:r>
    </w:p>
    <w:p>
      <w:r>
        <w:t>Die Beklagte begründet ihr Gesuch damit, dass es sich gemäss Darlegung der Klägerpartei bei den Parteien um eine passive einfache Streitgenossenschaft im Sinne von Art. 71 ZPO handle, gemäss dessen Absatz 3 jeder Streitgenosse unabhängig vom anderen Streitgenossen den Prozess führen könne. Aufgrund der von der juristi- schen wie von der natürlichen Person bei diversen Schweizer Gerichten hinterlegten Klagen mit teilweise astronomischen Streitwerten sowie der Tatsache, dass die Kläger laut Mediensprecher von Z _________ wohl sämtliche Instanzen bis vor Bundesgericht ausschöpfen würden, könne nicht ausgeschlossen werden, dass bei einem Unterliegen womöglich die Parteientschädigungen nicht mehr bezahlt werden könnten.</w:t>
      </w:r>
    </w:p>
    <w:p>
      <w:r>
        <w:t>- 6 - Die Kläger widersetzen sich dem Antrag auf Sicherheit für die Parteientschädigung mit der Begründung, dass die Beklagte es unterlassen habe, die Angaben des «F _________» zu verifizieren. Hätte sie es getan, wüsste sie, dass zwar ein Verfahren gegen die D _________ anhängig sei, deren Streitwert aber nur die Hälfte des im «F _________» genannten Betrags betrage. Ferner gelinge es der Beklagten nicht, eine konkrete Gefährdungslage darzulegen. Gegen beide Kläger seien keine Betreibungen hängig. Die Klägerin 1 sei bis zum heutigen Zeitpunkt im Handelsregister eingetragen und es gebe keinen Grund anzuzweifeln, dass sie nicht in der Lage sei, wie bis anhin ihren finanziellen Verpflichtungen nachzukommen. Abschliessend sei darauf hinzuwei- sen, dass die Kläger für ihre Prozessrisiken eine Rechtsschutzversicherung bei der C _________ hätten, deren Deckungsgarantie die maximal geschuldeten Parteientschä- digungen sowohl im vorliegenden Verfahren als auch im vorerwähnten Verfahren ge- gen die D _________ übersteige.</w:t>
      </w:r>
    </w:p>
    <w:p>
      <w:r>
        <w:rPr>
          <w:b/>
        </w:rPr>
        <w:t>E. 2.3</w:t>
      </w:r>
    </w:p>
    <w:p>
      <w:r>
        <w:t>Die Beklagte hat vor Erstinstanz keine weiteren Unterlagen wie beispielsweise Betreibungsregisterauszüge der Kläger eingereicht, welche eine erhebliche Gefähr- dung dergestalt aufzeigen könnten, dass diverse Betreibungen gegen sie hängig sind. Die Kläger bezahlten unbestrittenermassen innert Frist den Kostenvorschuss von Fr. 10'000.--. Zudem beträgt der Streitwert Fr. 125‘000.--, weshalb im vorliegenden Klageverfahren von einer Parteientschädigung von rund Fr. 13‘000.-- auszugehen wä- re, was mithin in etwa der Höhe des Kostenvorschusses entspricht, wobei keine An- haltspunkte dafür bestehen, dass die Kläger diese nicht zu leisten vermöchten. Zudem verfügen die Kläger laut eigener Darstellung über eine Rechtsschutzversicherung, wel- che im Falle des Unterliegens für die Ausrichtung der Parteientschädigung aufkäme. Dieselbe Rechtsschutzversicherung würde offenbar auch zum Zuge kommen, wenn die Kläger in einem allfälligen Schadenersatzverfahren gegen die D _________ zur Leistung einer Parteientschädigung an die D _________ verpflichtet werden würden, welcher Streit erst im Stadium des Betreibungsverfahrens steckt. Zusammenfassend ist somit – unabhängig davon, ob die klägerseits behauptete Rechtsschutzversicherung besteht – kein Kautionsgrund im Sinne des Gesetzes gegeben, weshalb das entspre- chende Gesuch der Beklagten abzuweisen ist.</w:t>
      </w:r>
    </w:p>
    <w:p>
      <w:r>
        <w:rPr>
          <w:b/>
        </w:rPr>
        <w:t>E. 3</w:t>
      </w:r>
    </w:p>
    <w:p>
      <w:r>
        <w:t>Die Gesuchstellerin bezahlt den Gesuchsgegnern für das vorliegende Verfahren eine Parteientschädigung von Fr. 800.--.</w:t>
      </w:r>
    </w:p>
    <w:p>
      <w:r>
        <w:t>Sitten, 6. Juni 2018</w:t>
      </w:r>
    </w:p>
    <w:p>
      <w:r>
        <w:rPr>
          <w:b/>
        </w:rPr>
        <w:t>E. 3.1</w:t>
      </w:r>
    </w:p>
    <w:p>
      <w:r>
        <w:t>Die Entscheidgebühr (Art. 95 Abs. 2 lit. b ZPO) wird mangels eines Streitwerts aufgrund des Umfangs und der Schwierigkeit des Falls, der Art der Prozessführung der Parteien sowie ihrer finanziellen Situation und nach dem Kostendeckungs- und Äquiva- lenzprinzip festgesetzt (Art. 13 Abs. 1 und 2 GTar). Sie bewegt sich im vorliegenden summarischen Verfahren zwischen Fr. 90.-- und Fr. 4'000.-- (Art. 18 GTar). Es wurde ein einfacher Schriftenwechsel durchgeführt, so dass die Gerichtsgebühr unter Berück- sichtigung der vorgenannten Kriterien auf Fr. 600.-- festzusetzen ist.</w:t>
      </w:r>
    </w:p>
    <w:p>
      <w:r>
        <w:rPr>
          <w:b/>
        </w:rPr>
        <w:t>E. 3.2</w:t>
      </w:r>
    </w:p>
    <w:p>
      <w:r>
        <w:t>Die Parteientschädigung umfasst den Ersatz notwendiger Auslagen und die Kos- ten einer berufsmässigen Vertretung sowie in begründeten Fällen eine angemessene Umtriebsentschädigung, wenn eine Partei nicht berufsmässig vertreten ist (Art. 95 Abs. 3 ZPO). Das ordentliche Anwaltshonorar bemisst sich im gesetzlich vorgegebe- nen Rahmentarif - Fr. 1‘100.-- bis Fr. 11‘000.-- (Art. 34 Abs. 1 GTar) - nach der Natur und Bedeutung des Falls, der Schwierigkeit, dem Umfang, der vom Rechtsbeistand nützlich aufgewandten Zeit und der finanziellen Situation der Partei (Art. 27 Abs. 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